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一、单位基本情况</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right="0" w:firstLine="573"/>
        <w:jc w:val="both"/>
        <w:textAlignment w:val="auto"/>
        <w:rPr>
          <w:rFonts w:hint="default" w:ascii="仿宋_GB2312" w:hAnsi="Times New Roman" w:eastAsia="仿宋_GB2312" w:cs="Times New Roman"/>
          <w:b w:val="0"/>
          <w:kern w:val="0"/>
          <w:sz w:val="28"/>
          <w:szCs w:val="28"/>
          <w:lang w:val="en-US" w:eastAsia="zh-CN" w:bidi="ar-SA"/>
        </w:rPr>
      </w:pPr>
      <w:r>
        <w:rPr>
          <w:rFonts w:hint="eastAsia" w:ascii="仿宋_GB2312" w:eastAsia="仿宋_GB2312" w:cs="Times New Roman"/>
          <w:b w:val="0"/>
          <w:kern w:val="0"/>
          <w:sz w:val="28"/>
          <w:szCs w:val="28"/>
          <w:lang w:val="en-US" w:eastAsia="zh-CN" w:bidi="ar-SA"/>
        </w:rPr>
        <w:t>单位</w:t>
      </w:r>
      <w:r>
        <w:rPr>
          <w:rFonts w:hint="eastAsia" w:ascii="仿宋_GB2312" w:hAnsi="Times New Roman" w:eastAsia="仿宋_GB2312" w:cs="Times New Roman"/>
          <w:b w:val="0"/>
          <w:kern w:val="0"/>
          <w:sz w:val="28"/>
          <w:szCs w:val="28"/>
          <w:lang w:val="en-US" w:eastAsia="zh-CN" w:bidi="ar-SA"/>
        </w:rPr>
        <w:t>职责</w:t>
      </w:r>
      <w:r>
        <w:rPr>
          <w:rFonts w:hint="eastAsia" w:ascii="仿宋_GB2312" w:eastAsia="仿宋_GB2312" w:cs="Times New Roman"/>
          <w:b w:val="0"/>
          <w:kern w:val="0"/>
          <w:sz w:val="28"/>
          <w:szCs w:val="28"/>
          <w:lang w:val="en-US" w:eastAsia="zh-CN" w:bidi="ar-SA"/>
        </w:rPr>
        <w:t>：负责研究人口调控综合协调服务工作，研究拟订人口调控中长期规划、年度计划并组织实施；负责研究人口重大问题，提出与经济、社会、资源、环境协调可持续发展，以及统筹促进人口长期均衡发展政策建议；负责组织落实“疏解整治促提升”专项行动，拟订大兴区工作方案、年度专项行动计划、工作台账，统筹协调疏解相关工作。</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right="0" w:firstLine="560" w:firstLineChars="200"/>
        <w:jc w:val="both"/>
        <w:textAlignment w:val="auto"/>
        <w:rPr>
          <w:rFonts w:hint="eastAsia" w:ascii="仿宋_GB2312" w:eastAsia="仿宋_GB2312"/>
          <w:b w:val="0"/>
          <w:sz w:val="28"/>
          <w:szCs w:val="28"/>
          <w:lang w:eastAsia="zh-CN"/>
        </w:rPr>
      </w:pPr>
      <w:r>
        <w:rPr>
          <w:rFonts w:hint="eastAsia" w:ascii="仿宋_GB2312" w:eastAsia="仿宋_GB2312"/>
          <w:b w:val="0"/>
          <w:sz w:val="28"/>
          <w:szCs w:val="28"/>
          <w:lang w:eastAsia="zh-CN"/>
        </w:rPr>
        <w:t>机构设置情况</w:t>
      </w:r>
      <w:r>
        <w:rPr>
          <w:rFonts w:hint="eastAsia" w:ascii="仿宋_GB2312" w:hAnsi="Times New Roman" w:eastAsia="仿宋_GB2312" w:cs="Times New Roman"/>
          <w:b w:val="0"/>
          <w:kern w:val="0"/>
          <w:sz w:val="28"/>
          <w:szCs w:val="28"/>
          <w:lang w:val="en-US" w:eastAsia="zh-CN" w:bidi="ar-SA"/>
        </w:rPr>
        <w:t>：</w:t>
      </w:r>
      <w:r>
        <w:rPr>
          <w:rFonts w:hint="eastAsia" w:ascii="仿宋_GB2312" w:eastAsia="仿宋_GB2312"/>
          <w:b w:val="0"/>
          <w:sz w:val="28"/>
          <w:szCs w:val="28"/>
          <w:lang w:eastAsia="zh-CN"/>
        </w:rPr>
        <w:t>本单位设置有办公室和综合科两个科室。</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189.89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3.92</w:t>
      </w:r>
      <w:r>
        <w:rPr>
          <w:rFonts w:hint="eastAsia" w:ascii="仿宋_GB2312" w:eastAsia="仿宋_GB2312"/>
          <w:sz w:val="28"/>
          <w:szCs w:val="28"/>
        </w:rPr>
        <w:t>万元，增长</w:t>
      </w:r>
      <w:r>
        <w:rPr>
          <w:rFonts w:hint="eastAsia" w:ascii="仿宋_GB2312" w:eastAsia="仿宋_GB2312"/>
          <w:sz w:val="28"/>
          <w:szCs w:val="28"/>
          <w:lang w:val="en-US" w:eastAsia="zh"/>
        </w:rPr>
        <w:t>2.11</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189.89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3.92</w:t>
      </w:r>
      <w:r>
        <w:rPr>
          <w:rFonts w:hint="eastAsia" w:ascii="仿宋_GB2312" w:eastAsia="仿宋_GB2312"/>
          <w:sz w:val="28"/>
          <w:szCs w:val="28"/>
        </w:rPr>
        <w:t>万元，增长</w:t>
      </w:r>
      <w:r>
        <w:rPr>
          <w:rFonts w:hint="eastAsia" w:ascii="仿宋_GB2312" w:eastAsia="仿宋_GB2312"/>
          <w:sz w:val="28"/>
          <w:szCs w:val="28"/>
          <w:lang w:val="en-US" w:eastAsia="zh"/>
        </w:rPr>
        <w:t>2.11</w:t>
      </w:r>
      <w:r>
        <w:rPr>
          <w:rFonts w:hint="eastAsia" w:ascii="仿宋_GB2312" w:eastAsia="仿宋_GB2312"/>
          <w:sz w:val="28"/>
          <w:szCs w:val="28"/>
        </w:rPr>
        <w:t>%</w:t>
      </w:r>
      <w:r>
        <w:rPr>
          <w:rFonts w:hint="eastAsia" w:ascii="仿宋_GB2312" w:eastAsia="仿宋_GB2312"/>
          <w:sz w:val="28"/>
          <w:szCs w:val="28"/>
          <w:lang w:eastAsia="zh-CN"/>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189.89</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
        </w:rPr>
        <w:t>189.89</w:t>
      </w:r>
      <w:r>
        <w:rPr>
          <w:rFonts w:hint="eastAsia" w:ascii="仿宋_GB2312" w:eastAsia="仿宋_GB2312"/>
          <w:sz w:val="28"/>
          <w:szCs w:val="28"/>
        </w:rPr>
        <w:t>万元，占收入合计的</w:t>
      </w:r>
      <w:r>
        <w:rPr>
          <w:rFonts w:hint="eastAsia" w:ascii="仿宋_GB2312" w:eastAsia="仿宋_GB2312"/>
          <w:sz w:val="28"/>
          <w:szCs w:val="28"/>
          <w:lang w:val="en-US" w:eastAsia="zh"/>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
        </w:rPr>
        <w:t>0</w:t>
      </w:r>
      <w:r>
        <w:rPr>
          <w:rFonts w:hint="eastAsia" w:ascii="仿宋_GB2312" w:eastAsia="仿宋_GB2312"/>
          <w:sz w:val="28"/>
          <w:szCs w:val="28"/>
        </w:rPr>
        <w:t>万元，占收入合计的</w:t>
      </w:r>
      <w:r>
        <w:rPr>
          <w:rFonts w:hint="eastAsia" w:ascii="仿宋_GB2312" w:eastAsia="仿宋_GB2312"/>
          <w:sz w:val="28"/>
          <w:szCs w:val="28"/>
          <w:lang w:val="en-US" w:eastAsia="zh"/>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
        </w:rPr>
        <w:t>0</w:t>
      </w:r>
      <w:r>
        <w:rPr>
          <w:rFonts w:hint="eastAsia" w:ascii="仿宋_GB2312" w:eastAsia="仿宋_GB2312"/>
          <w:sz w:val="28"/>
          <w:szCs w:val="28"/>
        </w:rPr>
        <w:t>万元，占收入合计的</w:t>
      </w:r>
      <w:r>
        <w:rPr>
          <w:rFonts w:hint="eastAsia" w:ascii="仿宋_GB2312" w:eastAsia="仿宋_GB2312"/>
          <w:sz w:val="28"/>
          <w:szCs w:val="28"/>
          <w:lang w:val="en-US" w:eastAsia="zh"/>
        </w:rPr>
        <w:t>0</w:t>
      </w:r>
      <w:r>
        <w:rPr>
          <w:rFonts w:hint="eastAsia" w:ascii="仿宋_GB2312" w:eastAsia="仿宋_GB2312"/>
          <w:sz w:val="28"/>
          <w:szCs w:val="28"/>
          <w:highlight w:val="none"/>
        </w:rPr>
        <w:t>%</w:t>
      </w:r>
      <w:r>
        <w:rPr>
          <w:rFonts w:hint="eastAsia" w:ascii="仿宋_GB2312" w:eastAsia="仿宋_GB2312"/>
          <w:sz w:val="28"/>
          <w:szCs w:val="28"/>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pPr>
        <w:rPr>
          <w:rFonts w:hint="default" w:eastAsia="仿宋_GB2312"/>
          <w:lang w:val="en-US" w:eastAsia="zh"/>
        </w:rPr>
      </w:pPr>
      <w:r>
        <w:rPr>
          <w:rFonts w:hint="eastAsia" w:ascii="仿宋_GB2312" w:eastAsia="仿宋_GB2312"/>
          <w:color w:val="000000"/>
          <w:sz w:val="32"/>
          <w:szCs w:val="32"/>
          <w:highlight w:val="none"/>
          <w:lang w:val="en-US" w:eastAsia="zh"/>
        </w:rPr>
        <w:t xml:space="preserve">            </w:t>
      </w:r>
      <w:r>
        <w:rPr>
          <w:rFonts w:hint="eastAsia" w:eastAsia="仿宋_GB2312"/>
          <w:color w:val="FFFFFF" w:themeColor="background1"/>
          <w:lang w:eastAsia="zh-CN"/>
          <w14:textFill>
            <w14:solidFill>
              <w14:schemeClr w14:val="bg1"/>
            </w14:solidFill>
          </w14:textFill>
        </w:rPr>
        <w:drawing>
          <wp:inline distT="0" distB="0" distL="114300" distR="114300">
            <wp:extent cx="6802755" cy="2413635"/>
            <wp:effectExtent l="4445" t="4445" r="12700" b="2032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3"/>
        <w:ind w:firstLine="420"/>
        <w:jc w:val="both"/>
        <w:rPr>
          <w:rFonts w:hint="default" w:eastAsia="宋体"/>
          <w:lang w:val="en-US" w:eastAsia="zh"/>
        </w:rPr>
      </w:pPr>
      <w:r>
        <w:rPr>
          <w:rFonts w:hint="eastAsia"/>
          <w:lang w:val="en-US" w:eastAsia="zh"/>
        </w:rPr>
        <w:t xml:space="preserve">  </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73"/>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189.89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
        </w:rPr>
        <w:t>3.92</w:t>
      </w:r>
      <w:r>
        <w:rPr>
          <w:rFonts w:hint="eastAsia" w:ascii="仿宋_GB2312" w:eastAsia="仿宋_GB2312"/>
          <w:sz w:val="28"/>
          <w:szCs w:val="28"/>
        </w:rPr>
        <w:t>万元，增长</w:t>
      </w:r>
      <w:r>
        <w:rPr>
          <w:rFonts w:hint="eastAsia" w:ascii="仿宋_GB2312" w:eastAsia="仿宋_GB2312"/>
          <w:sz w:val="28"/>
          <w:szCs w:val="28"/>
          <w:lang w:val="en-US" w:eastAsia="zh"/>
        </w:rPr>
        <w:t>2.11</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189.89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ascii="黑体" w:eastAsia="黑体"/>
          <w:b/>
          <w:sz w:val="28"/>
          <w:szCs w:val="28"/>
          <w:lang w:eastAsia="zh-CN"/>
        </w:rPr>
        <w:drawing>
          <wp:inline distT="0" distB="0" distL="114300" distR="114300">
            <wp:extent cx="4480560" cy="2828925"/>
            <wp:effectExtent l="4445" t="5080" r="10795" b="444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189.89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
        </w:rPr>
        <w:t>3.92</w:t>
      </w:r>
      <w:r>
        <w:rPr>
          <w:rFonts w:hint="eastAsia" w:ascii="仿宋_GB2312" w:eastAsia="仿宋_GB2312"/>
          <w:sz w:val="28"/>
          <w:szCs w:val="28"/>
        </w:rPr>
        <w:t>万元，增长</w:t>
      </w:r>
      <w:r>
        <w:rPr>
          <w:rFonts w:hint="eastAsia" w:ascii="仿宋_GB2312" w:eastAsia="仿宋_GB2312"/>
          <w:sz w:val="28"/>
          <w:szCs w:val="28"/>
          <w:lang w:val="en-US" w:eastAsia="zh"/>
        </w:rPr>
        <w:t>2.11</w:t>
      </w:r>
      <w:r>
        <w:rPr>
          <w:rFonts w:hint="eastAsia" w:ascii="仿宋_GB2312" w:eastAsia="仿宋_GB2312"/>
          <w:sz w:val="28"/>
          <w:szCs w:val="28"/>
        </w:rPr>
        <w:t>%。主要原因：</w:t>
      </w:r>
      <w:r>
        <w:rPr>
          <w:rFonts w:hint="eastAsia" w:ascii="仿宋_GB2312" w:eastAsia="仿宋_GB2312"/>
          <w:sz w:val="28"/>
          <w:szCs w:val="28"/>
          <w:lang w:eastAsia="zh-CN"/>
        </w:rPr>
        <w:t>社保等基数调整</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189.89</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150.27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79.14</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22.41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11.80</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lang w:val="en-US" w:eastAsia="zh-CN"/>
        </w:rPr>
        <w:t>支出17.21万元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9.06</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126.06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150.27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119.21</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仿宋_GB2312" w:eastAsia="仿宋_GB2312"/>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发展与改革事务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126.06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150.27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119.21</w:t>
      </w:r>
      <w:r>
        <w:rPr>
          <w:rFonts w:hint="eastAsia" w:ascii="仿宋_GB2312" w:eastAsia="仿宋_GB2312"/>
          <w:sz w:val="28"/>
          <w:szCs w:val="28"/>
        </w:rPr>
        <w:t>%。主要原因</w:t>
      </w:r>
      <w:r>
        <w:rPr>
          <w:rFonts w:hint="eastAsia" w:ascii="仿宋_GB2312" w:eastAsia="仿宋_GB2312"/>
          <w:sz w:val="28"/>
          <w:szCs w:val="28"/>
          <w:lang w:val="en-US" w:eastAsia="zh-CN"/>
        </w:rPr>
        <w:t>:人员变化</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138.08</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16.23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22.41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138.08</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132.28</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17.21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132.28</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textAlignment w:val="auto"/>
        <w:rPr>
          <w:rFonts w:ascii="仿宋_GB2312" w:eastAsia="仿宋_GB2312"/>
          <w:sz w:val="28"/>
          <w:szCs w:val="28"/>
        </w:rPr>
      </w:pPr>
      <w:r>
        <w:rPr>
          <w:rFonts w:hint="eastAsia" w:ascii="仿宋_GB2312" w:eastAsia="仿宋_GB2312"/>
          <w:sz w:val="28"/>
          <w:szCs w:val="28"/>
        </w:rPr>
        <w:t>主要原因：</w:t>
      </w:r>
      <w:r>
        <w:rPr>
          <w:rFonts w:hint="eastAsia" w:ascii="仿宋_GB2312" w:eastAsia="仿宋_GB2312"/>
          <w:sz w:val="28"/>
          <w:szCs w:val="28"/>
          <w:lang w:eastAsia="zh-CN"/>
        </w:rPr>
        <w:t>医疗基数调整</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bidi w:val="0"/>
        <w:snapToGrid/>
        <w:spacing w:line="580" w:lineRule="exact"/>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580" w:lineRule="exact"/>
        <w:ind w:firstLine="548" w:firstLineChars="196"/>
        <w:textAlignment w:val="auto"/>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both"/>
        <w:textAlignment w:val="auto"/>
        <w:rPr>
          <w:rFonts w:hint="eastAsia" w:ascii="宋体" w:hAnsi="宋体" w:eastAsia="仿宋_GB2312"/>
          <w:b/>
          <w:spacing w:val="40"/>
          <w:sz w:val="32"/>
          <w:szCs w:val="32"/>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189.89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办公费、工会经费、福利费、公务用车运行维护费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eastAsia="zh-CN"/>
        </w:rPr>
        <w:t>。</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jc w:val="center"/>
        <w:textAlignment w:val="auto"/>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1.85</w:t>
      </w:r>
      <w:r>
        <w:rPr>
          <w:rFonts w:hint="eastAsia" w:ascii="仿宋_GB2312" w:eastAsia="仿宋_GB2312"/>
          <w:sz w:val="28"/>
          <w:szCs w:val="28"/>
        </w:rPr>
        <w:t>万元减少</w:t>
      </w:r>
      <w:r>
        <w:rPr>
          <w:rFonts w:hint="eastAsia" w:ascii="仿宋_GB2312" w:eastAsia="仿宋_GB2312"/>
          <w:sz w:val="28"/>
          <w:szCs w:val="28"/>
          <w:lang w:val="en-US" w:eastAsia="zh-CN"/>
        </w:rPr>
        <w:t>1.41</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0.05</w:t>
      </w:r>
      <w:r>
        <w:rPr>
          <w:rFonts w:hint="eastAsia" w:ascii="仿宋_GB2312" w:eastAsia="仿宋_GB2312"/>
          <w:sz w:val="28"/>
          <w:szCs w:val="28"/>
        </w:rPr>
        <w:t>万元减少</w:t>
      </w:r>
      <w:r>
        <w:rPr>
          <w:rFonts w:hint="eastAsia" w:ascii="仿宋_GB2312" w:eastAsia="仿宋_GB2312"/>
          <w:sz w:val="28"/>
          <w:szCs w:val="28"/>
          <w:lang w:val="en-US" w:eastAsia="zh-CN"/>
        </w:rPr>
        <w:t>0.05</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落实政府过紧日子要求，严控公务接待规模</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1.36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0.44</w:t>
      </w:r>
      <w:r>
        <w:rPr>
          <w:rFonts w:hint="eastAsia" w:ascii="仿宋_GB2312" w:eastAsia="仿宋_GB2312"/>
          <w:sz w:val="28"/>
          <w:szCs w:val="28"/>
        </w:rPr>
        <w:t>万元，主要原因：</w:t>
      </w:r>
      <w:r>
        <w:rPr>
          <w:rFonts w:hint="eastAsia" w:ascii="仿宋_GB2312" w:eastAsia="仿宋_GB2312"/>
          <w:sz w:val="28"/>
          <w:szCs w:val="28"/>
          <w:lang w:eastAsia="zh-CN"/>
        </w:rPr>
        <w:t>倡导节能减排、低碳出行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hint="eastAsia" w:ascii="仿宋_GB2312" w:eastAsia="仿宋_GB2312"/>
          <w:sz w:val="28"/>
          <w:szCs w:val="28"/>
          <w:lang w:eastAsia="zh-CN"/>
        </w:rPr>
        <w:t>无变化</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540"/>
        <w:textAlignment w:val="auto"/>
        <w:rPr>
          <w:rFonts w:hint="eastAsia"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w:t>
      </w:r>
      <w:r>
        <w:rPr>
          <w:rFonts w:hint="eastAsia" w:ascii="仿宋_GB2312" w:eastAsia="仿宋_GB2312"/>
          <w:sz w:val="28"/>
          <w:szCs w:val="28"/>
          <w:lang w:val="en-US" w:eastAsia="zh-CN"/>
        </w:rPr>
        <w:t>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0.36</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1.22</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91.04</w:t>
      </w:r>
      <w:r>
        <w:rPr>
          <w:rFonts w:hint="eastAsia" w:ascii="仿宋_GB2312" w:eastAsia="仿宋_GB2312"/>
          <w:sz w:val="28"/>
          <w:szCs w:val="28"/>
        </w:rPr>
        <w:t>%，其中：授予小微企业合同金额</w:t>
      </w:r>
      <w:r>
        <w:rPr>
          <w:rFonts w:ascii="仿宋_GB2312" w:eastAsia="仿宋_GB2312"/>
          <w:sz w:val="28"/>
          <w:szCs w:val="28"/>
        </w:rPr>
        <w:t>0.98</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73.13</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12月31日，北京市大兴区人口协调发展中心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发展与改革事务</w:t>
      </w:r>
      <w:r>
        <w:rPr>
          <w:rFonts w:hint="eastAsia" w:ascii="仿宋_GB2312" w:eastAsia="仿宋_GB2312"/>
          <w:sz w:val="28"/>
          <w:szCs w:val="28"/>
        </w:rPr>
        <w:t>（款）</w:t>
      </w:r>
      <w:r>
        <w:rPr>
          <w:rFonts w:hint="eastAsia" w:ascii="仿宋_GB2312" w:eastAsia="仿宋_GB2312"/>
          <w:sz w:val="28"/>
          <w:szCs w:val="28"/>
          <w:lang w:eastAsia="zh-CN"/>
        </w:rPr>
        <w:t>事业运行</w:t>
      </w:r>
      <w:r>
        <w:rPr>
          <w:rFonts w:hint="eastAsia" w:ascii="仿宋_GB2312" w:eastAsia="仿宋_GB2312"/>
          <w:sz w:val="28"/>
          <w:szCs w:val="28"/>
        </w:rPr>
        <w:t>（项）：反映</w:t>
      </w:r>
      <w:r>
        <w:rPr>
          <w:rFonts w:hint="eastAsia" w:ascii="仿宋_GB2312" w:eastAsia="仿宋_GB2312"/>
          <w:sz w:val="28"/>
          <w:szCs w:val="28"/>
          <w:lang w:eastAsia="zh-CN"/>
        </w:rPr>
        <w:t>用于事业单位的基本支出</w:t>
      </w:r>
      <w:r>
        <w:rPr>
          <w:rFonts w:hint="eastAsia" w:ascii="仿宋_GB2312" w:eastAsia="仿宋_GB2312"/>
          <w:sz w:val="28"/>
          <w:szCs w:val="28"/>
          <w:lang w:val="en-US" w:eastAsia="zh-CN"/>
        </w:rPr>
        <w:t>,不包括行政单位(包括实行公务员管理的事业单位)后勤服务中心、医务室等附属事业单位</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w:t>
      </w:r>
      <w:r>
        <w:rPr>
          <w:rFonts w:hint="eastAsia" w:ascii="仿宋_GB2312" w:eastAsia="仿宋_GB2312"/>
          <w:sz w:val="28"/>
          <w:szCs w:val="28"/>
          <w:lang w:eastAsia="zh-CN"/>
        </w:rPr>
        <w:t>：</w:t>
      </w:r>
      <w:r>
        <w:rPr>
          <w:rFonts w:hint="eastAsia" w:ascii="仿宋_GB2312" w:eastAsia="仿宋_GB2312"/>
          <w:sz w:val="28"/>
          <w:szCs w:val="28"/>
        </w:rPr>
        <w:t>反映用于</w:t>
      </w:r>
      <w:r>
        <w:rPr>
          <w:rFonts w:hint="eastAsia" w:ascii="仿宋_GB2312" w:eastAsia="仿宋_GB2312"/>
          <w:sz w:val="28"/>
          <w:szCs w:val="28"/>
          <w:lang w:eastAsia="zh-CN"/>
        </w:rPr>
        <w:t>事业单位</w:t>
      </w:r>
      <w:r>
        <w:rPr>
          <w:rFonts w:hint="eastAsia" w:ascii="仿宋_GB2312" w:eastAsia="仿宋_GB2312"/>
          <w:sz w:val="28"/>
          <w:szCs w:val="28"/>
        </w:rPr>
        <w:t>开支的离退休经费。</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机关事业单位实施养老保险制度由单位缴纳的基本养老保险费支出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机关事业单位实施养老保险制度由单位实际缴纳的职业年金支出（含职业年金补记支出）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事业单位医疗</w:t>
      </w:r>
      <w:r>
        <w:rPr>
          <w:rFonts w:hint="eastAsia" w:ascii="仿宋_GB2312" w:eastAsia="仿宋_GB2312"/>
          <w:sz w:val="28"/>
          <w:szCs w:val="28"/>
        </w:rPr>
        <w:t>（项）：反映</w:t>
      </w:r>
      <w:r>
        <w:rPr>
          <w:rFonts w:hint="eastAsia" w:ascii="仿宋_GB2312" w:eastAsia="仿宋_GB2312"/>
          <w:sz w:val="28"/>
          <w:szCs w:val="28"/>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公务员医疗补助</w:t>
      </w:r>
      <w:r>
        <w:rPr>
          <w:rFonts w:hint="eastAsia" w:ascii="仿宋_GB2312" w:eastAsia="仿宋_GB2312"/>
          <w:sz w:val="28"/>
          <w:szCs w:val="28"/>
        </w:rPr>
        <w:t>（项）：反映</w:t>
      </w:r>
      <w:r>
        <w:rPr>
          <w:rFonts w:hint="eastAsia" w:ascii="仿宋_GB2312" w:eastAsia="仿宋_GB2312"/>
          <w:sz w:val="28"/>
          <w:szCs w:val="28"/>
          <w:lang w:eastAsia="zh-CN"/>
        </w:rPr>
        <w:t>财政部门安排的公务员医疗补助经费</w:t>
      </w:r>
      <w:r>
        <w:rPr>
          <w:rFonts w:hint="eastAsia" w:ascii="仿宋_GB2312" w:eastAsia="仿宋_GB2312"/>
          <w:sz w:val="28"/>
          <w:szCs w:val="28"/>
        </w:rPr>
        <w:t>。</w:t>
      </w:r>
    </w:p>
    <w:p>
      <w:pPr>
        <w:jc w:val="both"/>
        <w:rPr>
          <w:rFonts w:hint="eastAsia" w:ascii="黑体" w:eastAsia="黑体"/>
          <w:sz w:val="32"/>
          <w:szCs w:val="32"/>
        </w:rPr>
      </w:pPr>
    </w:p>
    <w:p>
      <w:pPr>
        <w:pStyle w:val="2"/>
        <w:rPr>
          <w:rFonts w:hint="eastAsia"/>
        </w:rPr>
      </w:pP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center"/>
        <w:textAlignment w:val="auto"/>
        <w:rPr>
          <w:rFonts w:hint="eastAsia"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4</w:t>
      </w:r>
      <w:r>
        <w:rPr>
          <w:rFonts w:hint="eastAsia" w:ascii="黑体" w:eastAsia="黑体"/>
          <w:sz w:val="32"/>
          <w:szCs w:val="32"/>
        </w:rPr>
        <w:t>年度部门绩效评价情况</w:t>
      </w:r>
    </w:p>
    <w:p>
      <w:pPr>
        <w:keepNext w:val="0"/>
        <w:keepLines w:val="0"/>
        <w:pageBreakBefore w:val="0"/>
        <w:widowControl w:val="0"/>
        <w:numPr>
          <w:numId w:val="0"/>
        </w:numPr>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rPr>
      </w:pPr>
      <w:bookmarkStart w:id="0" w:name="_GoBack"/>
      <w:bookmarkEnd w:id="0"/>
      <w:r>
        <w:rPr>
          <w:rFonts w:hint="eastAsia" w:ascii="黑体" w:eastAsia="黑体"/>
          <w:sz w:val="28"/>
          <w:szCs w:val="28"/>
          <w:lang w:eastAsia="zh-CN"/>
        </w:rPr>
        <w:t>一、</w:t>
      </w:r>
      <w:r>
        <w:rPr>
          <w:rFonts w:hint="eastAsia" w:ascii="黑体" w:eastAsia="黑体"/>
          <w:sz w:val="28"/>
          <w:szCs w:val="28"/>
        </w:rPr>
        <w:t>项目</w:t>
      </w:r>
      <w:r>
        <w:rPr>
          <w:rFonts w:ascii="黑体" w:eastAsia="黑体"/>
          <w:sz w:val="28"/>
          <w:szCs w:val="28"/>
        </w:rPr>
        <w:t>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本单位2024年无项目支出，未开展项目绩效评价。</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黑体" w:eastAsia="黑体"/>
          <w:sz w:val="28"/>
          <w:szCs w:val="28"/>
        </w:rPr>
      </w:pPr>
    </w:p>
    <w:p>
      <w:pPr>
        <w:ind w:firstLine="560" w:firstLineChars="200"/>
        <w:rPr>
          <w:rFonts w:hint="eastAsia" w:ascii="黑体" w:eastAsia="黑体"/>
          <w:sz w:val="28"/>
          <w:szCs w:val="28"/>
          <w:highlight w:val="yellow"/>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FB9F65"/>
    <w:multiLevelType w:val="singleLevel"/>
    <w:tmpl w:val="6BFB9F65"/>
    <w:lvl w:ilvl="0" w:tentative="0">
      <w:start w:val="4"/>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AB76D1"/>
    <w:rsid w:val="1DEF20B0"/>
    <w:rsid w:val="1F4E80AF"/>
    <w:rsid w:val="1FF74B7B"/>
    <w:rsid w:val="1FF7AB17"/>
    <w:rsid w:val="214243FA"/>
    <w:rsid w:val="21AD613C"/>
    <w:rsid w:val="22467189"/>
    <w:rsid w:val="257A14F5"/>
    <w:rsid w:val="27196C26"/>
    <w:rsid w:val="29EF086F"/>
    <w:rsid w:val="2ABB416D"/>
    <w:rsid w:val="2BC34C59"/>
    <w:rsid w:val="2EFFE297"/>
    <w:rsid w:val="301437CA"/>
    <w:rsid w:val="349D1F0A"/>
    <w:rsid w:val="34DD0473"/>
    <w:rsid w:val="37E79E60"/>
    <w:rsid w:val="3A8E35DC"/>
    <w:rsid w:val="3C684897"/>
    <w:rsid w:val="3F9E12FB"/>
    <w:rsid w:val="433E495C"/>
    <w:rsid w:val="489F2FD7"/>
    <w:rsid w:val="4AC27CB3"/>
    <w:rsid w:val="4BF72BEF"/>
    <w:rsid w:val="4FA90297"/>
    <w:rsid w:val="4FBF2CFC"/>
    <w:rsid w:val="4FC41A43"/>
    <w:rsid w:val="51DB3C59"/>
    <w:rsid w:val="550C0952"/>
    <w:rsid w:val="55762E42"/>
    <w:rsid w:val="57A7B272"/>
    <w:rsid w:val="58470068"/>
    <w:rsid w:val="58747CAC"/>
    <w:rsid w:val="5A1720F9"/>
    <w:rsid w:val="5B9C37C2"/>
    <w:rsid w:val="5BA7C654"/>
    <w:rsid w:val="5DF716AE"/>
    <w:rsid w:val="5EFE4982"/>
    <w:rsid w:val="5F9F507E"/>
    <w:rsid w:val="5FDD8612"/>
    <w:rsid w:val="60A54109"/>
    <w:rsid w:val="61D01CDF"/>
    <w:rsid w:val="64C0607C"/>
    <w:rsid w:val="65756C86"/>
    <w:rsid w:val="674D385B"/>
    <w:rsid w:val="676F09E1"/>
    <w:rsid w:val="71691990"/>
    <w:rsid w:val="71793A80"/>
    <w:rsid w:val="71FF9C3E"/>
    <w:rsid w:val="7357290B"/>
    <w:rsid w:val="756E3DEA"/>
    <w:rsid w:val="75BFC978"/>
    <w:rsid w:val="76FB1693"/>
    <w:rsid w:val="778F08B4"/>
    <w:rsid w:val="77F24917"/>
    <w:rsid w:val="798524E4"/>
    <w:rsid w:val="7A7F1C49"/>
    <w:rsid w:val="7B5B7AE6"/>
    <w:rsid w:val="7B7B6628"/>
    <w:rsid w:val="7B7E8376"/>
    <w:rsid w:val="7BA7071E"/>
    <w:rsid w:val="7BBE0711"/>
    <w:rsid w:val="7BDF6DA8"/>
    <w:rsid w:val="7C074C8E"/>
    <w:rsid w:val="7C7EDC1A"/>
    <w:rsid w:val="7CCED98D"/>
    <w:rsid w:val="7D08410F"/>
    <w:rsid w:val="7D2D6207"/>
    <w:rsid w:val="7DB96DED"/>
    <w:rsid w:val="7DD3AD81"/>
    <w:rsid w:val="7DFFF77E"/>
    <w:rsid w:val="7EFD1F5F"/>
    <w:rsid w:val="7F3B1F76"/>
    <w:rsid w:val="7F53A862"/>
    <w:rsid w:val="7F7F7821"/>
    <w:rsid w:val="7F7FE70F"/>
    <w:rsid w:val="7FA34BB6"/>
    <w:rsid w:val="7FBFD143"/>
    <w:rsid w:val="7FDF365A"/>
    <w:rsid w:val="7FE7F4D2"/>
    <w:rsid w:val="7FEC8BC6"/>
    <w:rsid w:val="7FFF772F"/>
    <w:rsid w:val="95F35EF6"/>
    <w:rsid w:val="9BFFD860"/>
    <w:rsid w:val="A5FF0DBC"/>
    <w:rsid w:val="A65B61EC"/>
    <w:rsid w:val="A77B4E4D"/>
    <w:rsid w:val="AC5F73DE"/>
    <w:rsid w:val="ADBD27E5"/>
    <w:rsid w:val="B0DB522E"/>
    <w:rsid w:val="B5DDD2C8"/>
    <w:rsid w:val="B5FB0823"/>
    <w:rsid w:val="B9DFABD9"/>
    <w:rsid w:val="BC0D83FC"/>
    <w:rsid w:val="BEFA3945"/>
    <w:rsid w:val="BF3BDEFB"/>
    <w:rsid w:val="BFB7A454"/>
    <w:rsid w:val="C75F6086"/>
    <w:rsid w:val="C7F7ED2D"/>
    <w:rsid w:val="CFAF854E"/>
    <w:rsid w:val="D717C9FB"/>
    <w:rsid w:val="D8D7928E"/>
    <w:rsid w:val="D8FE3136"/>
    <w:rsid w:val="DBE97AC3"/>
    <w:rsid w:val="DBFA0878"/>
    <w:rsid w:val="DD7FC153"/>
    <w:rsid w:val="DDDE60B7"/>
    <w:rsid w:val="DDF6AA03"/>
    <w:rsid w:val="DE9F6A22"/>
    <w:rsid w:val="DF4FCE6A"/>
    <w:rsid w:val="DFD6CE7C"/>
    <w:rsid w:val="DFE93440"/>
    <w:rsid w:val="DFEF5C84"/>
    <w:rsid w:val="DFFBF038"/>
    <w:rsid w:val="E4FED278"/>
    <w:rsid w:val="E7F9AB87"/>
    <w:rsid w:val="EDAA365C"/>
    <w:rsid w:val="EDADFC12"/>
    <w:rsid w:val="EFB72625"/>
    <w:rsid w:val="EFE95B4C"/>
    <w:rsid w:val="F2FD229B"/>
    <w:rsid w:val="F5F313E2"/>
    <w:rsid w:val="F65F79E2"/>
    <w:rsid w:val="F776A00A"/>
    <w:rsid w:val="F7F709E9"/>
    <w:rsid w:val="F7FF3690"/>
    <w:rsid w:val="F9BD3900"/>
    <w:rsid w:val="F9EE3DE8"/>
    <w:rsid w:val="FA7F866E"/>
    <w:rsid w:val="FBF76749"/>
    <w:rsid w:val="FC8B9876"/>
    <w:rsid w:val="FCBFBAB5"/>
    <w:rsid w:val="FCEF6761"/>
    <w:rsid w:val="FDFB6DFE"/>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100" b="1" i="0" u="none" strike="noStrike" kern="1200" baseline="0">
                <a:solidFill>
                  <a:schemeClr val="tx1">
                    <a:lumMod val="65000"/>
                    <a:lumOff val="35000"/>
                  </a:schemeClr>
                </a:solidFill>
                <a:latin typeface="+mn-lt"/>
                <a:ea typeface="+mn-ea"/>
                <a:cs typeface="+mn-cs"/>
              </a:defRPr>
            </a:pPr>
            <a:r>
              <a:rPr b="0"/>
              <a:t>收入决算</a:t>
            </a:r>
            <a:endParaRPr b="0"/>
          </a:p>
        </c:rich>
      </c:tx>
      <c:layout>
        <c:manualLayout>
          <c:xMode val="edge"/>
          <c:yMode val="edge"/>
          <c:x val="0.44255298013245"/>
          <c:y val="0.034467022758941"/>
        </c:manualLayout>
      </c:layout>
      <c:overlay val="false"/>
      <c:spPr>
        <a:noFill/>
        <a:ln>
          <a:noFill/>
        </a:ln>
        <a:effectLst/>
      </c:spPr>
    </c:title>
    <c:autoTitleDeleted val="false"/>
    <c:plotArea>
      <c:layout/>
      <c:pieChart>
        <c:varyColors val="true"/>
        <c:ser>
          <c:idx val="0"/>
          <c:order val="0"/>
          <c:tx>
            <c:strRef>
              <c:f>Sheet1!$B$1</c:f>
              <c:strCache>
                <c:ptCount val="1"/>
                <c:pt idx="0">
                  <c:v>收入决算</c:v>
                </c:pt>
              </c:strCache>
            </c:strRef>
          </c:tx>
          <c:spPr/>
          <c:explosion val="0"/>
          <c:dPt>
            <c:idx val="0"/>
            <c:bubble3D val="false"/>
            <c:spPr>
              <a:gradFill rotWithShape="true">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false"/>
              </a:gradFill>
              <a:ln>
                <a:noFill/>
              </a:ln>
              <a:effectLst>
                <a:outerShdw blurRad="57150" dist="19050" dir="5400000" algn="ctr" rotWithShape="0">
                  <a:srgbClr val="000000">
                    <a:alpha val="63000"/>
                  </a:srgbClr>
                </a:outerShdw>
              </a:effectLst>
            </c:spPr>
          </c:dPt>
          <c:dLbls>
            <c:dLbl>
              <c:idx val="0"/>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t>100%</a:t>
                    </a:r>
                  </a:p>
                </c:rich>
              </c:tx>
              <c:dLblPos val="inEnd"/>
              <c:showLegendKey val="false"/>
              <c:showVal val="false"/>
              <c:showCatName val="true"/>
              <c:showSerName val="false"/>
              <c:showPercent val="true"/>
              <c:showBubbleSize val="false"/>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manualLayout>
          <c:xMode val="edge"/>
          <c:yMode val="edge"/>
          <c:x val="0.696043656207367"/>
          <c:y val="0.301920614596671"/>
          <c:w val="0.173260572987722"/>
          <c:h val="0.135211267605634"/>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100" b="1" i="0" u="none" strike="noStrike" kern="1200" cap="all" spc="50" baseline="0">
                <a:solidFill>
                  <a:schemeClr val="tx1">
                    <a:lumMod val="65000"/>
                    <a:lumOff val="35000"/>
                  </a:schemeClr>
                </a:solidFill>
                <a:latin typeface="+mn-lt"/>
                <a:ea typeface="+mn-ea"/>
                <a:cs typeface="+mn-cs"/>
              </a:defRPr>
            </a:pPr>
            <a:r>
              <a:rPr sz="1100" b="0"/>
              <a:t>支出决算</a:t>
            </a:r>
            <a:endParaRPr sz="1100" b="0"/>
          </a:p>
        </c:rich>
      </c:tx>
      <c:layout/>
      <c:overlay val="false"/>
      <c:spPr>
        <a:noFill/>
        <a:ln>
          <a:noFill/>
        </a:ln>
        <a:effectLst/>
      </c:spPr>
    </c:title>
    <c:autoTitleDeleted val="false"/>
    <c:plotArea>
      <c:layout/>
      <c:pieChart>
        <c:varyColors val="true"/>
        <c:ser>
          <c:idx val="0"/>
          <c:order val="0"/>
          <c:tx>
            <c:strRef>
              <c:f>Sheet1!$B$1</c:f>
              <c:strCache>
                <c:ptCount val="1"/>
                <c:pt idx="0">
                  <c:v>支出决算</c:v>
                </c:pt>
              </c:strCache>
            </c:strRef>
          </c:tx>
          <c:spPr/>
          <c:explosion val="0"/>
          <c:dPt>
            <c:idx val="0"/>
            <c:bubble3D val="false"/>
            <c:spPr>
              <a:solidFill>
                <a:schemeClr val="accent1"/>
              </a:solidFill>
              <a:ln>
                <a:noFill/>
              </a:ln>
              <a:effectLst/>
            </c:spPr>
          </c:dPt>
          <c:dLbls>
            <c:dLbl>
              <c:idx val="0"/>
              <c:layout/>
              <c:tx>
                <c:rich>
                  <a:bodyPr rot="0" spcFirstLastPara="0" vertOverflow="ellipsis" vert="horz" wrap="square" lIns="38100" tIns="19050" rIns="38100" bIns="19050" anchor="ctr" anchorCtr="true"/>
                  <a:lstStyle/>
                  <a:p>
                    <a:pPr defTabSz="914400">
                      <a:defRPr lang="zh-CN" sz="900" b="1" i="0" u="none" strike="noStrike" kern="1200" baseline="0">
                        <a:solidFill>
                          <a:schemeClr val="tx1"/>
                        </a:solidFill>
                        <a:latin typeface="+mn-lt"/>
                        <a:ea typeface="+mn-ea"/>
                        <a:cs typeface="+mn-cs"/>
                      </a:defRPr>
                    </a:pPr>
                    <a:r>
                      <a:rPr b="0">
                        <a:solidFill>
                          <a:schemeClr val="tx1"/>
                        </a:solidFill>
                      </a:rPr>
                      <a:t>100%</a:t>
                    </a:r>
                    <a:endParaRPr b="0">
                      <a:solidFill>
                        <a:schemeClr val="tx1"/>
                      </a:solidFill>
                    </a:endParaRPr>
                  </a:p>
                </c:rich>
              </c:tx>
              <c:dLblPos val="inEnd"/>
              <c:showLegendKey val="false"/>
              <c:showVal val="false"/>
              <c:showCatName val="false"/>
              <c:showSerName val="false"/>
              <c:showPercent val="tru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tx1"/>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基本支出</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t"/>
      <c:layout>
        <c:manualLayout>
          <c:xMode val="edge"/>
          <c:yMode val="edge"/>
          <c:x val="0.8135"/>
          <c:y val="0.319166666666667"/>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TotalTime>
  <ScaleCrop>false</ScaleCrop>
  <LinksUpToDate>false</LinksUpToDate>
  <CharactersWithSpaces>298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user</cp:lastModifiedBy>
  <cp:lastPrinted>2020-08-09T11:39:00Z</cp:lastPrinted>
  <dcterms:modified xsi:type="dcterms:W3CDTF">2025-09-25T09:26:52Z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